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2" w:type="dxa"/>
        <w:tblInd w:w="108" w:type="dxa"/>
        <w:tblCellMar>
          <w:left w:w="0" w:type="dxa"/>
          <w:right w:w="0" w:type="dxa"/>
        </w:tblCellMar>
        <w:tblLook w:val="04A0" w:firstRow="1" w:lastRow="0" w:firstColumn="1" w:lastColumn="0" w:noHBand="0" w:noVBand="1"/>
      </w:tblPr>
      <w:tblGrid>
        <w:gridCol w:w="1962"/>
        <w:gridCol w:w="7200"/>
      </w:tblGrid>
      <w:tr w:rsidR="00A8361B" w:rsidRPr="00A8361B" w:rsidTr="00A8361B">
        <w:tc>
          <w:tcPr>
            <w:tcW w:w="1962" w:type="dxa"/>
            <w:tcMar>
              <w:top w:w="0" w:type="dxa"/>
              <w:left w:w="108" w:type="dxa"/>
              <w:bottom w:w="0" w:type="dxa"/>
              <w:right w:w="108" w:type="dxa"/>
            </w:tcMar>
            <w:hideMark/>
          </w:tcPr>
          <w:p w:rsidR="00A8361B" w:rsidRPr="00A8361B" w:rsidRDefault="00A8361B" w:rsidP="00A8361B">
            <w:pPr>
              <w:spacing w:after="0" w:line="240" w:lineRule="auto"/>
              <w:jc w:val="center"/>
              <w:rPr>
                <w:rFonts w:ascii="Arial" w:eastAsia="Times New Roman" w:hAnsi="Arial" w:cs="Arial"/>
                <w:color w:val="222222"/>
                <w:sz w:val="24"/>
                <w:szCs w:val="24"/>
              </w:rPr>
            </w:pPr>
            <w:r w:rsidRPr="00A8361B">
              <w:rPr>
                <w:rFonts w:ascii="Arial" w:eastAsia="Times New Roman" w:hAnsi="Arial" w:cs="Arial"/>
                <w:b/>
                <w:bCs/>
                <w:color w:val="000000"/>
                <w:sz w:val="24"/>
                <w:szCs w:val="24"/>
              </w:rPr>
              <w:t>CHÍNH PHỦ</w:t>
            </w:r>
          </w:p>
          <w:p w:rsidR="00A8361B" w:rsidRPr="00A8361B" w:rsidRDefault="00A8361B" w:rsidP="00A8361B">
            <w:pPr>
              <w:spacing w:after="0" w:line="240" w:lineRule="auto"/>
              <w:jc w:val="center"/>
              <w:rPr>
                <w:rFonts w:ascii="Arial" w:eastAsia="Times New Roman" w:hAnsi="Arial" w:cs="Arial"/>
                <w:color w:val="222222"/>
                <w:sz w:val="24"/>
                <w:szCs w:val="24"/>
              </w:rPr>
            </w:pPr>
            <w:r w:rsidRPr="00A8361B">
              <w:rPr>
                <w:rFonts w:ascii="Arial" w:eastAsia="Times New Roman" w:hAnsi="Arial" w:cs="Arial"/>
                <w:color w:val="000000"/>
                <w:sz w:val="24"/>
                <w:szCs w:val="24"/>
              </w:rPr>
              <w:t>______</w:t>
            </w:r>
          </w:p>
          <w:p w:rsidR="00A8361B" w:rsidRPr="00A8361B" w:rsidRDefault="00A8361B" w:rsidP="00A8361B">
            <w:pPr>
              <w:spacing w:after="0" w:line="240" w:lineRule="auto"/>
              <w:jc w:val="center"/>
              <w:rPr>
                <w:rFonts w:ascii="Arial" w:eastAsia="Times New Roman" w:hAnsi="Arial" w:cs="Arial"/>
                <w:color w:val="222222"/>
                <w:sz w:val="24"/>
                <w:szCs w:val="24"/>
              </w:rPr>
            </w:pPr>
            <w:r w:rsidRPr="00A8361B">
              <w:rPr>
                <w:rFonts w:ascii="Arial" w:eastAsia="Times New Roman" w:hAnsi="Arial" w:cs="Arial"/>
                <w:color w:val="000000"/>
                <w:sz w:val="24"/>
                <w:szCs w:val="24"/>
              </w:rPr>
              <w:t>Số: 116/NQ-CP</w:t>
            </w:r>
          </w:p>
          <w:p w:rsidR="00A8361B" w:rsidRPr="00A8361B" w:rsidRDefault="00A8361B" w:rsidP="00A8361B">
            <w:pPr>
              <w:spacing w:after="0" w:line="240" w:lineRule="auto"/>
              <w:jc w:val="center"/>
              <w:rPr>
                <w:rFonts w:ascii="Arial" w:eastAsia="Times New Roman" w:hAnsi="Arial" w:cs="Arial"/>
                <w:color w:val="222222"/>
                <w:sz w:val="24"/>
                <w:szCs w:val="24"/>
              </w:rPr>
            </w:pPr>
            <w:r w:rsidRPr="00A8361B">
              <w:rPr>
                <w:rFonts w:ascii="Arial" w:eastAsia="Times New Roman" w:hAnsi="Arial" w:cs="Arial"/>
                <w:color w:val="222222"/>
                <w:sz w:val="24"/>
                <w:szCs w:val="24"/>
              </w:rPr>
              <w:t> </w:t>
            </w:r>
          </w:p>
        </w:tc>
        <w:tc>
          <w:tcPr>
            <w:tcW w:w="7200" w:type="dxa"/>
            <w:tcMar>
              <w:top w:w="0" w:type="dxa"/>
              <w:left w:w="108" w:type="dxa"/>
              <w:bottom w:w="0" w:type="dxa"/>
              <w:right w:w="108" w:type="dxa"/>
            </w:tcMar>
            <w:hideMark/>
          </w:tcPr>
          <w:p w:rsidR="00A8361B" w:rsidRPr="00A8361B" w:rsidRDefault="00A8361B" w:rsidP="00A8361B">
            <w:pPr>
              <w:spacing w:after="0" w:line="240" w:lineRule="auto"/>
              <w:jc w:val="center"/>
              <w:rPr>
                <w:rFonts w:ascii="Arial" w:eastAsia="Times New Roman" w:hAnsi="Arial" w:cs="Arial"/>
                <w:color w:val="222222"/>
                <w:sz w:val="24"/>
                <w:szCs w:val="24"/>
              </w:rPr>
            </w:pPr>
            <w:r w:rsidRPr="00A8361B">
              <w:rPr>
                <w:rFonts w:ascii="Arial" w:eastAsia="Times New Roman" w:hAnsi="Arial" w:cs="Arial"/>
                <w:b/>
                <w:bCs/>
                <w:color w:val="000000"/>
                <w:sz w:val="24"/>
                <w:szCs w:val="24"/>
              </w:rPr>
              <w:t>CỘNG HÒA XÃ HỘI CHỦ NGHĨA VIỆT NAM</w:t>
            </w:r>
            <w:r w:rsidRPr="00A8361B">
              <w:rPr>
                <w:rFonts w:ascii="Arial" w:eastAsia="Times New Roman" w:hAnsi="Arial" w:cs="Arial"/>
                <w:b/>
                <w:bCs/>
                <w:color w:val="000000"/>
                <w:sz w:val="24"/>
                <w:szCs w:val="24"/>
              </w:rPr>
              <w:br/>
              <w:t>Độc lập - Tự do - Hạnh phúc</w:t>
            </w:r>
          </w:p>
          <w:p w:rsidR="00A8361B" w:rsidRPr="00A8361B" w:rsidRDefault="00A8361B" w:rsidP="00A8361B">
            <w:pPr>
              <w:spacing w:after="0" w:line="240" w:lineRule="auto"/>
              <w:jc w:val="center"/>
              <w:rPr>
                <w:rFonts w:ascii="Arial" w:eastAsia="Times New Roman" w:hAnsi="Arial" w:cs="Arial"/>
                <w:color w:val="222222"/>
                <w:sz w:val="24"/>
                <w:szCs w:val="24"/>
              </w:rPr>
            </w:pPr>
            <w:r w:rsidRPr="00A8361B">
              <w:rPr>
                <w:rFonts w:ascii="Arial" w:eastAsia="Times New Roman" w:hAnsi="Arial" w:cs="Arial"/>
                <w:color w:val="000000"/>
                <w:sz w:val="24"/>
                <w:szCs w:val="24"/>
              </w:rPr>
              <w:t>________________________</w:t>
            </w:r>
          </w:p>
          <w:p w:rsidR="00A8361B" w:rsidRPr="00A8361B" w:rsidRDefault="00A8361B" w:rsidP="00A8361B">
            <w:pPr>
              <w:spacing w:after="0" w:line="240" w:lineRule="auto"/>
              <w:jc w:val="right"/>
              <w:rPr>
                <w:rFonts w:ascii="Arial" w:eastAsia="Times New Roman" w:hAnsi="Arial" w:cs="Arial"/>
                <w:color w:val="222222"/>
                <w:sz w:val="24"/>
                <w:szCs w:val="24"/>
              </w:rPr>
            </w:pPr>
            <w:r w:rsidRPr="00A8361B">
              <w:rPr>
                <w:rFonts w:ascii="Arial" w:eastAsia="Times New Roman" w:hAnsi="Arial" w:cs="Arial"/>
                <w:i/>
                <w:iCs/>
                <w:color w:val="000000"/>
                <w:sz w:val="24"/>
                <w:szCs w:val="24"/>
              </w:rPr>
              <w:t>Hà Nội, ngày 24 tháng 9 năm 2021</w:t>
            </w:r>
          </w:p>
        </w:tc>
      </w:tr>
    </w:tbl>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sz w:val="24"/>
          <w:szCs w:val="24"/>
        </w:rPr>
        <w:t> </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sz w:val="24"/>
          <w:szCs w:val="24"/>
        </w:rPr>
        <w:t> </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b/>
          <w:bCs/>
          <w:color w:val="000000"/>
          <w:sz w:val="24"/>
          <w:szCs w:val="24"/>
        </w:rPr>
        <w:t>NGHỊ QUYẾT</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b/>
          <w:bCs/>
          <w:color w:val="000000"/>
          <w:sz w:val="24"/>
          <w:szCs w:val="24"/>
        </w:rPr>
        <w:t>Về chính sách hỗ trợ người lao động và người sử dụng lao động bị ảnh hưởng bởi đại dịch COVID-19 từ Quỹ bảo hiểm thất nghiệp</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color w:val="000000"/>
          <w:sz w:val="24"/>
          <w:szCs w:val="24"/>
        </w:rPr>
        <w:t>________</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color w:val="000000"/>
          <w:sz w:val="24"/>
          <w:szCs w:val="24"/>
        </w:rPr>
        <w:t>CHÍNH PHỦ</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sz w:val="24"/>
          <w:szCs w:val="24"/>
        </w:rPr>
        <w:t> </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i/>
          <w:iCs/>
          <w:color w:val="000000"/>
          <w:sz w:val="24"/>
          <w:szCs w:val="24"/>
        </w:rPr>
        <w:t>Căn cứ Luật Tổ chức Chính phủ ngày 19 tháng 6 năm 2015;</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i/>
          <w:iCs/>
          <w:color w:val="000000"/>
          <w:sz w:val="24"/>
          <w:szCs w:val="24"/>
        </w:rPr>
        <w:t>Căn cứ Nghị quyết số 30/2021/QH15 về Kỳ họp thứ Nhất, Quốc hội khóa XV;</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i/>
          <w:iCs/>
          <w:color w:val="000000"/>
          <w:sz w:val="24"/>
          <w:szCs w:val="24"/>
        </w:rPr>
        <w:t>Căn cứ Nghị định số 138/2016/NĐ-CP ngày 01 tháng 10 năm 2016 của Chính phủ ban hành Quy chế làm việc của Chính phủ;</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i/>
          <w:iCs/>
          <w:color w:val="000000"/>
          <w:sz w:val="24"/>
          <w:szCs w:val="24"/>
        </w:rPr>
        <w:t>Căn cứ thông báo ý kiến của Bộ Chính trị tại văn bản số 1789-CV/VPTW ngày 11 tháng 9 năm 2021 và văn bản số 1911-CV/VPTW ngày 23 tháng 9 năm 2021 của Văn phòng Trung ương Đảng;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i/>
          <w:iCs/>
          <w:color w:val="000000"/>
          <w:sz w:val="24"/>
          <w:szCs w:val="24"/>
        </w:rPr>
        <w:t>Căn cứ Nghị quyết số 03/2021/UBTVQH15 ngày 24 tháng 9 năm 2021 của Ủy ban Thường vụ Quốc hội về ban hành chính sách hỗ trợ người lao động và người sử dụng lao động bị ảnh hưởng bởi đại dịch COVID-19 từ Quỹ bảo hiểm thất nghiệp;</w:t>
      </w:r>
    </w:p>
    <w:p w:rsidR="00A8361B" w:rsidRPr="00A8361B" w:rsidRDefault="00A8361B" w:rsidP="00A8361B">
      <w:pPr>
        <w:spacing w:after="0" w:line="240" w:lineRule="auto"/>
        <w:ind w:firstLine="720"/>
        <w:jc w:val="both"/>
        <w:rPr>
          <w:rFonts w:ascii="Arial" w:eastAsia="Times New Roman" w:hAnsi="Arial" w:cs="Arial"/>
          <w:sz w:val="24"/>
          <w:szCs w:val="24"/>
        </w:rPr>
      </w:pPr>
      <w:r w:rsidRPr="00A8361B">
        <w:rPr>
          <w:rFonts w:ascii="Arial" w:eastAsia="Times New Roman" w:hAnsi="Arial" w:cs="Arial"/>
          <w:i/>
          <w:iCs/>
          <w:color w:val="000000"/>
          <w:sz w:val="24"/>
          <w:szCs w:val="24"/>
        </w:rPr>
        <w:t>Theo đề nghị của Bộ trưởng Bộ Lao động - Thương binh và Xã hội tại Tờ trình số 76/TTr-LĐTBXH ngày 24 tháng 9 năm 2021.</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sz w:val="24"/>
          <w:szCs w:val="24"/>
        </w:rPr>
        <w:t> </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b/>
          <w:bCs/>
          <w:color w:val="000000"/>
          <w:sz w:val="24"/>
          <w:szCs w:val="24"/>
        </w:rPr>
        <w:t>QUYẾT NGHỊ:</w:t>
      </w:r>
    </w:p>
    <w:p w:rsidR="00A8361B" w:rsidRPr="00A8361B" w:rsidRDefault="00A8361B" w:rsidP="00A8361B">
      <w:pPr>
        <w:spacing w:after="0" w:line="240" w:lineRule="auto"/>
        <w:jc w:val="center"/>
        <w:rPr>
          <w:rFonts w:ascii="Arial" w:eastAsia="Times New Roman" w:hAnsi="Arial" w:cs="Arial"/>
          <w:sz w:val="24"/>
          <w:szCs w:val="24"/>
        </w:rPr>
      </w:pPr>
      <w:r w:rsidRPr="00A8361B">
        <w:rPr>
          <w:rFonts w:ascii="Arial" w:eastAsia="Times New Roman" w:hAnsi="Arial" w:cs="Arial"/>
          <w:sz w:val="24"/>
          <w:szCs w:val="24"/>
        </w:rPr>
        <w:t> </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Trong điều kiện dịch bệnh đang diễn biến phức tạp và tác động nặng nề lên nhiều mặt của đời sống xã hội, ảnh hưởng lớn đến việc làm, đời sống, thu nhập của người lao động và hoạt động sản xuất, kinh doanh của người sử dụng lao động, Chính phủ quyết nghị thực hiện chính sách hỗ trợ người lao động và người sử dụng lao động bị ảnh hưởng bởi đại dịch COVID-19 từ Quỹ bảo hiểm thất nghiệp như sau:</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b/>
          <w:bCs/>
          <w:color w:val="000000"/>
          <w:sz w:val="24"/>
          <w:szCs w:val="24"/>
        </w:rPr>
        <w:t>I. MỤC ĐÍCH, NGUYÊN TẮC</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1. Mục đích</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Thể hiện được sự quan tâm, chia sẻ của Đảng, Nhà nước đối với người lao động và người sử dụng lao động bị ảnh hưởng bởi đại dịch COVID-19.</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Góp phần hỗ trợ người lao động khắc phục khó khăn, ổn định cuộc sống, chống đứt gãy chuỗi cung ứng lao động và thiếu hụt lao động.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Hỗ trợ người sử dụng lao động giảm chi phí, nỗ lực thích ứng với trạng thái bình thường mới, duy trì sản xuất, kinh doanh, tạo việc làm cho người lao động.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Phát huy vai trò của chính sách bảo hiểm thất nghiệp là chỗ dựa cho người lao động và người sử dụng lao động.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lastRenderedPageBreak/>
        <w:t>2. Nguyên tắc</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Việc hỗ trợ người lao động và người sử dụng lao động từ Quỹ bảo hiểm thất nghiệp bảo đảm nguyên tắc đóng - hưởng, chia sẻ và công bằng đối với người lao động và người sử dụng lao động tham gia bảo hiểm thất nghiệp.</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Việc thực hiện chính sách đặt trong cân đối tổng thể chung các nguồn lực của Nhà nước, các quỹ, các nguồn hỗ trợ khác. Có tính tới sự khác biệt và ưu tiên một số đối tượng bị ảnh hưởng bởi đại dịch COVID-19.</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Việc thực hiện hỗ trợ đối với người lao động, người sử dụng lao động phải đơn giản, kịp thời, đúng đối tượng, công khai, minh bạch và hiệu quả.</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Không áp dụng đối với đối tượng tự nguyện không nhận hỗ trợ.</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b/>
          <w:bCs/>
          <w:color w:val="000000"/>
          <w:sz w:val="24"/>
          <w:szCs w:val="24"/>
        </w:rPr>
        <w:t>II. NỘI DUNG CHÍNH SÁCH</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b/>
          <w:bCs/>
          <w:color w:val="000000"/>
          <w:sz w:val="24"/>
          <w:szCs w:val="24"/>
        </w:rPr>
        <w:t>1. Hỗ trợ bằng tiền cho người lao động bị ảnh hưởng bởi đại dịch COVID-19 từ kết dư Quỹ bảo hiểm thất nghiệp</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a) Đối tượng áp dụng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Người lao động đang tham gia bảo hiểm thất nghiệp tại thời điểm ngày 30 tháng 9 năm 2021 (không bao gồm người lao động đang làm việc tại cơ quan nhà nước, tổ chức chính trị, tổ chức chính trị - xã hội, đơn vị vũ trang nhân dân và đơn vị sự nghiệp công lập do ngân sách nhà nước bảo đảm chi thường xuyên).</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Người lao động đã dừng tham gia bảo hiểm thất nghiệp do chấm dứt hợp đồng lao động hoặc hợp đồng làm việc trong khoảng thời gian từ ngày 01 tháng 01 năm 2020 đến hết ngày 30 tháng 9 năm 2021 có thời gian đóng bảo hiểm thất nghiệp được bảo lưu theo quy định của pháp luật về việc làm, không bao gồm người hưởng lương hưu hàng tháng.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b) Mức hỗ trợ</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Mức hỗ trợ trên cơ sở thời gian đóng bảo hiểm thất nghiệp chưa hưởng trợ cấp thất nghiệp của người lao động, cụ thể như sau:</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Thời gian đóng bảo hiểm thất nghiệp dưới 12 tháng: hỗ trợ 1.800.000 đồng/người.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Thời gian đóng bảo hiểm thất nghiệp từ đủ 12 tháng đến dưới 60 tháng: hỗ trợ 2.100.000 đồng/người.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Thời gian đóng bảo hiểm thất nghiệp từ đủ 60 tháng đến dưới 84 tháng: hỗ trợ 2.400.000 đồng/người.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Thời gian đóng bảo hiểm thất nghiệp từ đủ 84 tháng đến dưới 108 tháng: hỗ trợ 2.650.000 đồng/người.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Thời gian đóng bảo hiểm thất nghiệp từ đủ 108 tháng đến dưới 132 tháng: hỗ trợ 2.900.000 đồng/người.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Thời gian đóng bảo hiểm thất nghiệp từ đủ 132 tháng trở lên: hỗ trợ 3.300.000 đồng/người.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c) Nguồn kinh phí: khoảng 30.000 tỷ đồng từ kết dư Quỹ bảo hiểm thất nghiệp đến hết năm 2020.</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lastRenderedPageBreak/>
        <w:t>d) Thời gian thực hi</w:t>
      </w:r>
      <w:bookmarkStart w:id="0" w:name="_GoBack"/>
      <w:bookmarkEnd w:id="0"/>
      <w:r w:rsidRPr="00A8361B">
        <w:rPr>
          <w:rFonts w:ascii="Arial" w:eastAsia="Times New Roman" w:hAnsi="Arial" w:cs="Arial"/>
          <w:color w:val="000000"/>
          <w:sz w:val="24"/>
          <w:szCs w:val="24"/>
        </w:rPr>
        <w:t>ện việc hỗ trợ người lao động từ ngày 01 tháng 10 năm 2021 và hoàn thành chậm nhất vào ngày 31 tháng 12 năm 2021.</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b/>
          <w:bCs/>
          <w:color w:val="000000"/>
          <w:sz w:val="24"/>
          <w:szCs w:val="24"/>
        </w:rPr>
        <w:t>2. Giảm mức đóng vào Quỹ bảo hiểm thất nghiệp cho người sử dụng lao động bị ảnh hưởng bởi đại dịch COVID-19</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a) Đối tượng áp dụng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 xml:space="preserve">Người sử dụng lao động quy định tại Điều 43 </w:t>
      </w:r>
      <w:r w:rsidRPr="00A8361B">
        <w:rPr>
          <w:rFonts w:ascii="Arial" w:eastAsia="Times New Roman" w:hAnsi="Arial" w:cs="Arial"/>
          <w:sz w:val="24"/>
          <w:szCs w:val="24"/>
        </w:rPr>
        <w:t>của Luật Việc làm </w:t>
      </w:r>
      <w:r w:rsidRPr="00A8361B">
        <w:rPr>
          <w:rFonts w:ascii="Arial" w:eastAsia="Times New Roman" w:hAnsi="Arial" w:cs="Arial"/>
          <w:color w:val="000000"/>
          <w:sz w:val="24"/>
          <w:szCs w:val="24"/>
        </w:rPr>
        <w:t>(không bao gồm các cơ quan nhà nước, tổ chức chính trị, tổ chức chính trị - xã hội, đơn vị vũ trang nhân dân và đơn vị sự nghiệp công lập do ngân sách nhà nước bảo đảm chi thường xuyên) đang tham gia bảo hiểm thất nghiệp trước ngày 01 tháng 10 năm 2021.</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b) Mức giảm đóng</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Người sử dụng lao động được giảm mức đóng từ 1% xuống bằng 0% quỹ tiền lương tháng của những người lao động thuộc đối tượng tham gia bảo hiểm thất nghiệp.</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c) Thời gian thực hiện giảm mức đóng</w:t>
      </w:r>
    </w:p>
    <w:p w:rsidR="00A8361B" w:rsidRPr="00A8361B" w:rsidRDefault="00A8361B" w:rsidP="00A8361B">
      <w:pPr>
        <w:spacing w:after="120" w:line="240" w:lineRule="auto"/>
        <w:ind w:left="720"/>
        <w:jc w:val="both"/>
        <w:rPr>
          <w:rFonts w:ascii="Arial" w:eastAsia="Times New Roman" w:hAnsi="Arial" w:cs="Arial"/>
          <w:sz w:val="24"/>
          <w:szCs w:val="24"/>
        </w:rPr>
      </w:pPr>
      <w:r w:rsidRPr="00A8361B">
        <w:rPr>
          <w:rFonts w:ascii="Arial" w:eastAsia="Times New Roman" w:hAnsi="Arial" w:cs="Arial"/>
          <w:color w:val="000000"/>
          <w:sz w:val="24"/>
          <w:szCs w:val="24"/>
        </w:rPr>
        <w:t>12 tháng, kể từ ngày 01 tháng 10 năm 2021 đến hết ngày 30 tháng 9 năm 2022.</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b/>
          <w:bCs/>
          <w:color w:val="000000"/>
          <w:sz w:val="24"/>
          <w:szCs w:val="24"/>
        </w:rPr>
        <w:t>III. TỔ CHỨC THỰC HIỆN</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1. Bộ Lao động - Thương binh và Xã hội:</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a) Chủ trì, phối hợp với các cơ quan liên quan trình Thủ tướng Chính phủ ban hành Quyết định để triển khai thực hiện các nội dung quy định tại Mục II Nghị quyết này theo trình tự, thủ tục rút gọn.</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b) Chỉ đạo, hướng dẫn, kiểm tra, đôn đốc Bảo hiểm xã hội Việt Nam, các địa phương triển khai Nghị quyết của Chính phủ và Quyết định của Thủ tướng Chính phủ. Đề xuất Chính phủ, Thủ tướng Chính phủ các giải pháp để tháo gỡ khó khăn, vướng mắc phát sinh.</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2. Bộ Tài chính trình Thủ tướng Chính phủ xem xét, điều chỉnh dự toán thu, chi và chi phí quản lý bảo hiểm thất nghiệp theo quy định.</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3. Bảo hiểm xã hội Việt Nam:</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a) Phối hợp với Bộ Lao động - Thương binh và Xã hội xây dựng, trình Thủ tướng Chính phủ ban hành Quyết định triển khai thực hiện Nghị quyết.</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b) Tổ chức thực hiện các chính sách theo quy định tại Nghị quyết này.</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c) Kịp thời báo cáo Bộ Lao động - Thương binh và Xã hội các khó khăn, vướng mắc để trình cấp có thẩm quyền xem xét, giải quyết.</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4. Bộ Thông tin và Truyền thông chủ trì, phối hợp với Ban Tuyên giáo Trung ương, các bộ, cơ quan trung ương và địa phương, các cơ quan thông tấn, báo chí tổ chức phổ biến, tuyên truyền rộng rãi Nghị quyết này.</w:t>
      </w:r>
    </w:p>
    <w:p w:rsidR="00A8361B" w:rsidRPr="00A8361B" w:rsidRDefault="00A8361B" w:rsidP="00A8361B">
      <w:pPr>
        <w:spacing w:after="12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t>5. Đề nghị Ủy ban trung ương Mặt trận Tổ quốc Việt Nam, Tổng Liên đoàn Lao động Việt Nam, tổ chức đại diện người sử dụng lao động, các tổ chức chính trị - xã hội tham gia tuyên truyền, vận động và giám sát việc thực hiện Nghị quyết.</w:t>
      </w:r>
    </w:p>
    <w:p w:rsidR="00A8361B" w:rsidRPr="00A8361B" w:rsidRDefault="00A8361B" w:rsidP="00A8361B">
      <w:pPr>
        <w:spacing w:after="0" w:line="240" w:lineRule="auto"/>
        <w:ind w:firstLine="720"/>
        <w:jc w:val="both"/>
        <w:rPr>
          <w:rFonts w:ascii="Arial" w:eastAsia="Times New Roman" w:hAnsi="Arial" w:cs="Arial"/>
          <w:sz w:val="24"/>
          <w:szCs w:val="24"/>
        </w:rPr>
      </w:pPr>
      <w:r w:rsidRPr="00A8361B">
        <w:rPr>
          <w:rFonts w:ascii="Arial" w:eastAsia="Times New Roman" w:hAnsi="Arial" w:cs="Arial"/>
          <w:color w:val="000000"/>
          <w:sz w:val="24"/>
          <w:szCs w:val="24"/>
        </w:rPr>
        <w:lastRenderedPageBreak/>
        <w:t>6. Bộ trưởng, Thủ trưởng cơ quan ngang bộ, Thủ trưởng cơ quan thuộc Chính phủ, Chủ tịch Ủy ban nhân dân các tỉnh, thành phố trực thuộc trung ương chịu trách nhiệm trực tiếp trước Chính phủ, Thủ tướng Chính phủ về việc triển khai và kết quả thực hiện Nghị quyết này./.</w:t>
      </w:r>
    </w:p>
    <w:p w:rsidR="00A8361B" w:rsidRPr="00A8361B" w:rsidRDefault="00A8361B" w:rsidP="00A8361B">
      <w:pPr>
        <w:spacing w:after="0" w:line="240" w:lineRule="auto"/>
        <w:ind w:firstLine="720"/>
        <w:jc w:val="both"/>
        <w:rPr>
          <w:rFonts w:ascii="Arial" w:eastAsia="Times New Roman" w:hAnsi="Arial" w:cs="Arial"/>
          <w:sz w:val="24"/>
          <w:szCs w:val="24"/>
        </w:rPr>
      </w:pPr>
      <w:r w:rsidRPr="00A8361B">
        <w:rPr>
          <w:rFonts w:ascii="Arial" w:eastAsia="Times New Roman" w:hAnsi="Arial" w:cs="Arial"/>
          <w:sz w:val="24"/>
          <w:szCs w:val="24"/>
        </w:rPr>
        <w:t> </w:t>
      </w:r>
    </w:p>
    <w:tbl>
      <w:tblPr>
        <w:tblW w:w="12075" w:type="dxa"/>
        <w:tblInd w:w="108" w:type="dxa"/>
        <w:tblCellMar>
          <w:left w:w="0" w:type="dxa"/>
          <w:right w:w="0" w:type="dxa"/>
        </w:tblCellMar>
        <w:tblLook w:val="04A0" w:firstRow="1" w:lastRow="0" w:firstColumn="1" w:lastColumn="0" w:noHBand="0" w:noVBand="1"/>
      </w:tblPr>
      <w:tblGrid>
        <w:gridCol w:w="12075"/>
      </w:tblGrid>
      <w:tr w:rsidR="00A8361B" w:rsidRPr="00A8361B" w:rsidTr="00A8361B">
        <w:tc>
          <w:tcPr>
            <w:tcW w:w="5940" w:type="dxa"/>
            <w:tcMar>
              <w:top w:w="0" w:type="dxa"/>
              <w:left w:w="108" w:type="dxa"/>
              <w:bottom w:w="0" w:type="dxa"/>
              <w:right w:w="108" w:type="dxa"/>
            </w:tcMar>
            <w:hideMark/>
          </w:tcPr>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b/>
                <w:bCs/>
                <w:i/>
                <w:iCs/>
                <w:color w:val="000000"/>
                <w:sz w:val="20"/>
                <w:szCs w:val="20"/>
              </w:rPr>
              <w:t>Nơi nhận:</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Tổng Bí thư (để báo cáo);</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Chủ tịch nước (để báo cáo);</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Thường trực Ban Bí thư;</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Ban Bí thư Trung ương Đảng;</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Chủ tịch, các Phó Chủ tịch Quốc hội;</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Thủ tướng, các Phó Thủ tướng Chính phủ;</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Hội đồng Dân tộc và các UB của Quốc hội;</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Văn phòng Quốc hội;</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Tòa án nhân dân tối cao;</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Viện Kiểm sát nhân dân tối cao;</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UB Giám sát tài chính QG;</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Kiểm toán Nhà nước;</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Ủy ban TW Mặt trận Tổ quốc Việt Nam;</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Các Bộ, cơ quan ngang Bộ, cơ quan thuộc CP;</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Cơ quan Trung ương của các đoàn thể;</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HĐND, UBND các tỉnh, thành phố trực thuộc trung ương;</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VPCP: BTCN, các PCN, Trợ lý TTg, TGĐ cổng TTĐT, các Vụ, Cục, đơn vị trực thuộc;</w:t>
            </w:r>
          </w:p>
          <w:p w:rsidR="00A8361B" w:rsidRPr="00A8361B" w:rsidRDefault="00A8361B" w:rsidP="00A8361B">
            <w:pPr>
              <w:spacing w:after="0" w:line="240" w:lineRule="auto"/>
              <w:jc w:val="both"/>
              <w:rPr>
                <w:rFonts w:ascii="Arial" w:eastAsia="Times New Roman" w:hAnsi="Arial" w:cs="Arial"/>
                <w:color w:val="222222"/>
                <w:sz w:val="24"/>
                <w:szCs w:val="24"/>
              </w:rPr>
            </w:pPr>
            <w:r w:rsidRPr="00A8361B">
              <w:rPr>
                <w:rFonts w:ascii="Arial" w:eastAsia="Times New Roman" w:hAnsi="Arial" w:cs="Arial"/>
                <w:color w:val="000000"/>
                <w:sz w:val="20"/>
                <w:szCs w:val="20"/>
              </w:rPr>
              <w:t>- Lưu: VT, KTTH (3).</w:t>
            </w:r>
          </w:p>
        </w:tc>
      </w:tr>
    </w:tbl>
    <w:p w:rsidR="001A6259" w:rsidRDefault="001A6259"/>
    <w:sectPr w:rsidR="001A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1B"/>
    <w:rsid w:val="001A6259"/>
    <w:rsid w:val="00A836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B09BC-6536-4C8A-89A4-6828BC7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61B"/>
    <w:rPr>
      <w:b/>
      <w:bCs/>
    </w:rPr>
  </w:style>
  <w:style w:type="character" w:styleId="Emphasis">
    <w:name w:val="Emphasis"/>
    <w:basedOn w:val="DefaultParagraphFont"/>
    <w:uiPriority w:val="20"/>
    <w:qFormat/>
    <w:rsid w:val="00A8361B"/>
    <w:rPr>
      <w:i/>
      <w:iCs/>
    </w:rPr>
  </w:style>
  <w:style w:type="character" w:styleId="Hyperlink">
    <w:name w:val="Hyperlink"/>
    <w:basedOn w:val="DefaultParagraphFont"/>
    <w:uiPriority w:val="99"/>
    <w:semiHidden/>
    <w:unhideWhenUsed/>
    <w:rsid w:val="00A83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6459</Characters>
  <Application>Microsoft Office Word</Application>
  <DocSecurity>0</DocSecurity>
  <Lines>53</Lines>
  <Paragraphs>15</Paragraphs>
  <ScaleCrop>false</ScaleCrop>
  <Company>Kiểm toán Thành Nam</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 số 116/NQ-CP Về chính sách hỗ trợ người lao động và người sử dụng lao động bị ảnh hưởng bởi đại dịch COVID-19 từ Quỹ bảo hiểm thất nghiệp</dc:title>
  <dc:subject>Nghị quyết số 116/NQ-CP Về chính sách hỗ trợ người lao động và người sử dụng lao động bị ảnh hưởng bởi đại dịch COVID-19 từ Quỹ bảo hiểm thất nghiệp</dc:subject>
  <dc:creator>Kiem Toan Thanh Nam</dc:creator>
  <cp:keywords>kiemtoanthanhnam; nd116-nd-cp</cp:keywords>
  <dc:description>Nghị quyết số 116/NQ-CP Về chính sách hỗ trợ người lao động và người sử dụng lao động bị ảnh hưởng bởi đại dịch COVID-19 từ Quỹ bảo hiểm thất nghiệp</dc:description>
  <cp:lastModifiedBy>LENOVO</cp:lastModifiedBy>
  <cp:revision>1</cp:revision>
  <dcterms:created xsi:type="dcterms:W3CDTF">2021-09-26T05:10:00Z</dcterms:created>
  <dcterms:modified xsi:type="dcterms:W3CDTF">2021-09-26T05:11:00Z</dcterms:modified>
  <cp:category>kiemtoanthanhnam; nd116-nd-cp</cp:category>
</cp:coreProperties>
</file>